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pPr>
      <w:r>
        <w:rPr/>
      </w:r>
    </w:p>
    <w:p>
      <w:pPr>
        <w:pStyle w:val="Normal"/>
        <w:spacing w:lineRule="auto" w:line="240" w:before="0" w:after="0"/>
        <w:jc w:val="center"/>
        <w:rPr/>
      </w:pPr>
      <w:r>
        <w:rPr/>
        <w:t>Porozumienie  Nr EK.401.5.2.2022</w:t>
      </w:r>
    </w:p>
    <w:p>
      <w:pPr>
        <w:pStyle w:val="Normal"/>
        <w:spacing w:lineRule="auto" w:line="240" w:before="0" w:after="0"/>
        <w:jc w:val="center"/>
        <w:rPr/>
      </w:pPr>
      <w:r>
        <w:rPr/>
        <w:t xml:space="preserve">w sprawie ustalenia zasad współpracy w celu uzyskania dotacji </w:t>
      </w:r>
    </w:p>
    <w:p>
      <w:pPr>
        <w:pStyle w:val="Normal"/>
        <w:spacing w:lineRule="auto" w:line="240" w:before="0" w:after="0"/>
        <w:jc w:val="center"/>
        <w:rPr/>
      </w:pPr>
      <w:r>
        <w:rPr/>
        <w:t>w ramach Rządowego Programu Odbudowy Zabytków</w:t>
      </w:r>
    </w:p>
    <w:p>
      <w:pPr>
        <w:pStyle w:val="Normal"/>
        <w:spacing w:lineRule="auto" w:line="240" w:before="0" w:after="0"/>
        <w:jc w:val="both"/>
        <w:rPr/>
      </w:pPr>
      <w:r>
        <w:rPr/>
      </w:r>
    </w:p>
    <w:p>
      <w:pPr>
        <w:pStyle w:val="Normal"/>
        <w:spacing w:lineRule="auto" w:line="240" w:before="0" w:after="0"/>
        <w:rPr/>
      </w:pPr>
      <w:r>
        <w:rPr/>
        <w:br/>
        <w:t>zawarte w dniu 25.03.2024 r. w Radomsku, pomiędzy:</w:t>
        <w:br/>
        <w:t>Powiatem Radomszczańskim z siedzibą przy ul. Leszka Czarnego 22, 97 – 500 Radomsko,</w:t>
        <w:br/>
        <w:t xml:space="preserve">NIP 772-22-61-699; REGON </w:t>
      </w:r>
      <w:r>
        <w:rPr>
          <w:rFonts w:cs="Calibri" w:cstheme="minorHAnsi"/>
          <w:color w:val="333333"/>
          <w:shd w:fill="FFFFFF" w:val="clear"/>
        </w:rPr>
        <w:t xml:space="preserve">590648445 </w:t>
      </w:r>
      <w:r>
        <w:rPr/>
        <w:t>reprezentowanym przez Zarząd w osobach</w:t>
      </w:r>
    </w:p>
    <w:p>
      <w:pPr>
        <w:pStyle w:val="Normal"/>
        <w:spacing w:lineRule="auto" w:line="240" w:before="0" w:after="0"/>
        <w:rPr/>
      </w:pPr>
      <w:r>
        <w:rPr/>
        <w:t>Starosty Powiatu Radomszczańskiego Beaty Pokory,</w:t>
      </w:r>
    </w:p>
    <w:p>
      <w:pPr>
        <w:pStyle w:val="Normal"/>
        <w:spacing w:lineRule="auto" w:line="240" w:before="0" w:after="0"/>
        <w:rPr/>
      </w:pPr>
      <w:r>
        <w:rPr/>
        <w:t>Wicestarosty Powiatu Radomszczańskiego Małgorzaty Lewandowskiej</w:t>
      </w:r>
    </w:p>
    <w:p>
      <w:pPr>
        <w:pStyle w:val="Normal"/>
        <w:spacing w:lineRule="auto" w:line="240" w:before="0" w:after="0"/>
        <w:rPr/>
      </w:pPr>
      <w:r>
        <w:rPr/>
        <w:t>przy kontrasygnacie Skarbnika Powiatu Radomszczańskiego Magdalen</w:t>
      </w:r>
      <w:r>
        <w:rPr/>
        <w:t>y</w:t>
      </w:r>
      <w:r>
        <w:rPr/>
        <w:t xml:space="preserve"> Jędrzejczyk</w:t>
        <w:br/>
        <w:t>zwanym dalej w treści porozumienia „Powiatem”,</w:t>
        <w:br/>
        <w:t>a</w:t>
      </w:r>
    </w:p>
    <w:p>
      <w:pPr>
        <w:pStyle w:val="Normal"/>
        <w:spacing w:lineRule="auto" w:line="240" w:before="0" w:after="0"/>
        <w:rPr/>
      </w:pPr>
      <w:r>
        <w:rPr/>
        <w:t>Parafią Rzymsko-Katolicką pw. Św. Stanisława BM w Pławnie</w:t>
        <w:br/>
        <w:t>z adresem siedziby: ul. Radomszczańska 14, 97-540 Gidle</w:t>
      </w:r>
    </w:p>
    <w:p>
      <w:pPr>
        <w:pStyle w:val="Normal"/>
        <w:spacing w:lineRule="auto" w:line="240" w:before="0" w:after="0"/>
        <w:rPr/>
      </w:pPr>
      <w:r>
        <w:rPr/>
        <w:t xml:space="preserve">NIP: 772-228-03-14; </w:t>
        <w:br/>
        <w:t>reprezentowaną/-ym przez:</w:t>
        <w:br/>
        <w:t>1. Ks. Roberta Mordalskiego</w:t>
        <w:br/>
        <w:br/>
        <w:t>zwaną/ym dalej w treści porozumienia „BENEFICJENTEM DOTACJI”,</w:t>
        <w:br/>
        <w:t>zwanymi dalej w treści porozumienia także jako „STRONY”.</w:t>
      </w:r>
    </w:p>
    <w:p>
      <w:pPr>
        <w:pStyle w:val="Normal"/>
        <w:spacing w:lineRule="auto" w:line="240" w:before="0" w:after="0"/>
        <w:jc w:val="both"/>
        <w:rPr/>
      </w:pPr>
      <w:r>
        <w:rPr/>
      </w:r>
    </w:p>
    <w:p>
      <w:pPr>
        <w:pStyle w:val="Normal"/>
        <w:spacing w:lineRule="auto" w:line="240" w:before="0" w:after="0"/>
        <w:jc w:val="both"/>
        <w:rPr/>
      </w:pPr>
      <w:r>
        <w:rPr/>
        <w:t xml:space="preserve">Niniejsze porozumienie zostaje zawarte na podstawie: </w:t>
      </w:r>
    </w:p>
    <w:p>
      <w:pPr>
        <w:pStyle w:val="ListParagraph"/>
        <w:numPr>
          <w:ilvl w:val="0"/>
          <w:numId w:val="1"/>
        </w:numPr>
        <w:spacing w:lineRule="auto" w:line="240" w:before="0" w:after="0"/>
        <w:contextualSpacing/>
        <w:jc w:val="both"/>
        <w:rPr/>
      </w:pPr>
      <w:r>
        <w:rPr/>
        <w:t>Uchwały Rady Powiatu Radomszczańskiego Nr LX/416/2023 z dnia 22 lutego 2023 r. w sprawie zasad udzielania dotacji na prace konserwatorskie, restauratorskie lub roboty budowlane przy zabytkach wpisanych do rejestru zabytków lub gminnej ewidencji zabytków w ramach Rządowego Programu Odbudowy Zabytków, zmienionej Uchwałą Nr LXI/423/2023 r. z dnia 29 marca 2023 roku oraz  Uchwałą Nr LXXII/497/2023 z dnia 20 grudnia 2023 roku;</w:t>
      </w:r>
    </w:p>
    <w:p>
      <w:pPr>
        <w:pStyle w:val="ListParagraph"/>
        <w:numPr>
          <w:ilvl w:val="0"/>
          <w:numId w:val="1"/>
        </w:numPr>
        <w:spacing w:lineRule="auto" w:line="240" w:before="0" w:after="0"/>
        <w:contextualSpacing/>
        <w:jc w:val="both"/>
        <w:rPr/>
      </w:pPr>
      <w:r>
        <w:rPr/>
        <w:t xml:space="preserve">Uchwały Rady Powiatu Radomszczańskiego Nr LXIX/467/2024 z dnia 27 września 2023 r. w sprawie przyznania w 2024 roku dotacji na prace konserwatorskie, restauratorskie lub roboty budowlane przy zabytkach wpisanych do rejestru zabytków i znajdujących się w gminnej ewidencji zabytków położonych lub znajdujących się na obszarze Powiatu Radomszczańskiego w ramach Rządowego Programu Odbudowy Zabytków. </w:t>
      </w:r>
    </w:p>
    <w:p>
      <w:pPr>
        <w:pStyle w:val="ListParagraph"/>
        <w:spacing w:lineRule="auto" w:line="240" w:before="0" w:after="0"/>
        <w:contextualSpacing/>
        <w:jc w:val="center"/>
        <w:rPr/>
      </w:pPr>
      <w:r>
        <w:rPr/>
      </w:r>
    </w:p>
    <w:p>
      <w:pPr>
        <w:pStyle w:val="ListParagraph"/>
        <w:spacing w:lineRule="auto" w:line="240" w:before="0" w:after="0"/>
        <w:contextualSpacing/>
        <w:jc w:val="center"/>
        <w:rPr/>
      </w:pPr>
      <w:r>
        <w:rPr/>
        <w:t>§ 1</w:t>
      </w:r>
    </w:p>
    <w:p>
      <w:pPr>
        <w:pStyle w:val="ListParagraph"/>
        <w:numPr>
          <w:ilvl w:val="0"/>
          <w:numId w:val="5"/>
        </w:numPr>
        <w:spacing w:lineRule="auto" w:line="240" w:before="0" w:after="0"/>
        <w:contextualSpacing/>
        <w:jc w:val="both"/>
        <w:rPr/>
      </w:pPr>
      <w:r>
        <w:rPr/>
        <w:t xml:space="preserve">Przedmiotem porozumienia jest ustalenie zasad współpracy w celu uzyskania dotacji przez Beneficjenta dotacji w ramach Rządowego Programu Odbudowy Zabytków na realizację inwestycji:  </w:t>
      </w:r>
      <w:bookmarkStart w:id="0" w:name="_Hlk161836753"/>
      <w:r>
        <w:rPr>
          <w:b/>
          <w:bCs/>
        </w:rPr>
        <w:t>„Remont i rekonstrukcja zabytkowej bramy cmentarza parafialnego w Pławnie gminy Gidle powiatu Radomszczańskiego”</w:t>
      </w:r>
      <w:r>
        <w:rPr/>
        <w:t xml:space="preserve"> </w:t>
      </w:r>
      <w:bookmarkEnd w:id="0"/>
      <w:r>
        <w:rPr/>
        <w:t>(zwanego dalej również zadaniem), szczegółowo określonej                              w złożonym przez Beneficjenta dotacji wniosku, o którym mowa w ust. 2.</w:t>
      </w:r>
    </w:p>
    <w:p>
      <w:pPr>
        <w:pStyle w:val="ListParagraph"/>
        <w:numPr>
          <w:ilvl w:val="0"/>
          <w:numId w:val="5"/>
        </w:numPr>
        <w:spacing w:lineRule="auto" w:line="240" w:before="0" w:after="0"/>
        <w:contextualSpacing/>
        <w:jc w:val="both"/>
        <w:rPr/>
      </w:pPr>
      <w:r>
        <w:rPr/>
        <w:t xml:space="preserve">Beneficjent dotacji oświadcza, że w dniu 16.03.2023 r. złożył wniosek  o udzielenie dotacji na prace konserwatorskie, restauratorskie lub roboty budowlane przy zabytku wpisanym do rejestru zabytków lub gminnej ewidencji zabytków w ramach Rządowego Programu Odbudowy Zabytków na zadanie:  </w:t>
      </w:r>
      <w:r>
        <w:rPr>
          <w:b/>
          <w:bCs/>
        </w:rPr>
        <w:t>„Remont i rekonstrukcja zabytkowej bramy cmentarza parafialnego w Pławnie gminy Gidle powiatu Radomszczańskiego”</w:t>
      </w:r>
      <w:r>
        <w:rPr/>
        <w:t xml:space="preserve">. </w:t>
      </w:r>
    </w:p>
    <w:p>
      <w:pPr>
        <w:pStyle w:val="ListParagraph"/>
        <w:spacing w:lineRule="auto" w:line="240" w:before="0" w:after="0"/>
        <w:contextualSpacing/>
        <w:jc w:val="center"/>
        <w:rPr/>
      </w:pPr>
      <w:r>
        <w:rPr/>
        <w:t>§ 2</w:t>
      </w:r>
    </w:p>
    <w:p>
      <w:pPr>
        <w:pStyle w:val="ListParagraph"/>
        <w:numPr>
          <w:ilvl w:val="0"/>
          <w:numId w:val="4"/>
        </w:numPr>
        <w:spacing w:lineRule="auto" w:line="240" w:before="0" w:after="0"/>
        <w:ind w:left="709" w:hanging="360"/>
        <w:contextualSpacing/>
        <w:jc w:val="both"/>
        <w:rPr/>
      </w:pPr>
      <w:r>
        <w:rPr/>
        <w:t xml:space="preserve">Przewidywana wartość  zadania wynosi 211.966,04 zł (słownie: dwieście jedenaście tysięcy dziewięćset sześćdziesiąt sześć 04/100). </w:t>
      </w:r>
    </w:p>
    <w:p>
      <w:pPr>
        <w:pStyle w:val="ListParagraph"/>
        <w:numPr>
          <w:ilvl w:val="0"/>
          <w:numId w:val="4"/>
        </w:numPr>
        <w:spacing w:lineRule="auto" w:line="240" w:before="0" w:after="0"/>
        <w:ind w:left="709" w:hanging="360"/>
        <w:contextualSpacing/>
        <w:jc w:val="both"/>
        <w:rPr/>
      </w:pPr>
      <w:r>
        <w:rPr/>
        <w:t>Dotacja celowa zostanie udzielona w wysokości określonej w ust. 1, w tym 172.324,50 zł dofinansowania ze środków Rządowego Programu Odbudowy Zabytków oraz 39.641,54 zł wkładu własnego wynikającego z wniosku o dofinansowanie, z zastrzeżeniem § 3</w:t>
      </w:r>
    </w:p>
    <w:p>
      <w:pPr>
        <w:pStyle w:val="ListParagraph"/>
        <w:spacing w:lineRule="auto" w:line="240" w:before="0" w:after="0"/>
        <w:contextualSpacing/>
        <w:jc w:val="center"/>
        <w:rPr/>
      </w:pPr>
      <w:r>
        <w:rPr/>
      </w:r>
    </w:p>
    <w:p>
      <w:pPr>
        <w:pStyle w:val="ListParagraph"/>
        <w:spacing w:lineRule="auto" w:line="240" w:before="0" w:after="0"/>
        <w:contextualSpacing/>
        <w:jc w:val="center"/>
        <w:rPr/>
      </w:pPr>
      <w:r>
        <w:rPr/>
        <w:t>§ 3</w:t>
      </w:r>
    </w:p>
    <w:p>
      <w:pPr>
        <w:pStyle w:val="ListParagraph"/>
        <w:numPr>
          <w:ilvl w:val="0"/>
          <w:numId w:val="2"/>
        </w:numPr>
        <w:spacing w:lineRule="auto" w:line="240" w:before="0" w:after="0"/>
        <w:ind w:left="709" w:hanging="360"/>
        <w:contextualSpacing/>
        <w:rPr/>
      </w:pPr>
      <w:r>
        <w:rPr/>
        <w:t>Beneficjent dotacji zobowiązuje się do:</w:t>
      </w:r>
    </w:p>
    <w:p>
      <w:pPr>
        <w:pStyle w:val="ListParagraph"/>
        <w:numPr>
          <w:ilvl w:val="0"/>
          <w:numId w:val="3"/>
        </w:numPr>
        <w:spacing w:lineRule="auto" w:line="240" w:before="0" w:after="0"/>
        <w:ind w:left="1134" w:hanging="425"/>
        <w:contextualSpacing/>
        <w:jc w:val="both"/>
        <w:rPr/>
      </w:pPr>
      <w:r>
        <w:rPr/>
        <w:t xml:space="preserve">ogłoszenia Postępowania zakupowego na okres co najmniej 30 dni, mającego na celu wyłonienie Wykonawcy Inwestycji w terminie nie dłuższym niż 12 miesięcy od dnia udostępnienia Powiatowi  Wstępnej Promesy w Aplikacji służącej do obsługi Programu, tj. od dnia 27.07.2023 r.; nierozpoczęcie Postępowania zakupowego w ww. terminie jest równoznaczne z rezygnacją Beneficjenta dotacji z dofinansowania Inwestycji w ramach niniejszego porozumienia; </w:t>
      </w:r>
    </w:p>
    <w:p>
      <w:pPr>
        <w:pStyle w:val="ListParagraph"/>
        <w:numPr>
          <w:ilvl w:val="0"/>
          <w:numId w:val="3"/>
        </w:numPr>
        <w:spacing w:lineRule="auto" w:line="240" w:before="0" w:after="0"/>
        <w:ind w:left="1134" w:hanging="360"/>
        <w:contextualSpacing/>
        <w:jc w:val="both"/>
        <w:rPr/>
      </w:pPr>
      <w:r>
        <w:rPr/>
        <w:t>przekazania Powiatowi materiałów dotyczących postępowania zakupowego w wersji edytowalnej celem zamieszczenia ogłoszenia o postępowaniu na stronie Powiatu;</w:t>
      </w:r>
    </w:p>
    <w:p>
      <w:pPr>
        <w:pStyle w:val="ListParagraph"/>
        <w:numPr>
          <w:ilvl w:val="0"/>
          <w:numId w:val="3"/>
        </w:numPr>
        <w:spacing w:lineRule="auto" w:line="240" w:before="0" w:after="0"/>
        <w:ind w:left="1134" w:hanging="360"/>
        <w:contextualSpacing/>
        <w:jc w:val="both"/>
        <w:rPr/>
      </w:pPr>
      <w:r>
        <w:rPr/>
        <w:t xml:space="preserve">zapewnienia Udziału własnego w kwocie nie niższej niż Udział własny wskazany we Wniosku </w:t>
        <w:br/>
        <w:t>o udzielenie dotacji, o którym mowa w § 2 ust. 2 na podstawie stosownego oświadczenia, jak również zapewnienia pokrycia kosztów , o których mowa w § 4 ust. 2;</w:t>
      </w:r>
    </w:p>
    <w:p>
      <w:pPr>
        <w:pStyle w:val="ListParagraph"/>
        <w:numPr>
          <w:ilvl w:val="0"/>
          <w:numId w:val="3"/>
        </w:numPr>
        <w:spacing w:lineRule="auto" w:line="240" w:before="0" w:after="0"/>
        <w:ind w:left="1134" w:hanging="360"/>
        <w:contextualSpacing/>
        <w:jc w:val="both"/>
        <w:rPr/>
      </w:pPr>
      <w:r>
        <w:rPr/>
        <w:t xml:space="preserve">zapewnienia, że Inwestycja, której dotyczyć będzie Postępowanie zakupowe będzie tożsama </w:t>
        <w:br/>
        <w:t>z nazwą i opisem Inwestycji zawartym we Wniosku o dofinansowanie na podstawie stosownego oświadczenia;</w:t>
      </w:r>
    </w:p>
    <w:p>
      <w:pPr>
        <w:pStyle w:val="ListParagraph"/>
        <w:numPr>
          <w:ilvl w:val="0"/>
          <w:numId w:val="3"/>
        </w:numPr>
        <w:spacing w:lineRule="auto" w:line="240" w:before="0" w:after="0"/>
        <w:ind w:left="1134" w:hanging="360"/>
        <w:contextualSpacing/>
        <w:jc w:val="both"/>
        <w:rPr/>
      </w:pPr>
      <w:r>
        <w:rPr/>
        <w:t>przekazania Powiatowi pisemnego potwierdzenia ogłoszenia Postępowania zakupowego niezwłocznie po jego ogłoszeniu, zawierającego datę ogłoszenia postępowania, jego treść, szczegółową lokalizację zamieszczonego ogłoszenia (w tym linki do wszystkich stron internetowych, na których ogłoszenie zostało opublikowane, także do Biuletynu Informacji Publicznej Powiatu Radomszczańskiego);</w:t>
      </w:r>
    </w:p>
    <w:p>
      <w:pPr>
        <w:pStyle w:val="ListParagraph"/>
        <w:numPr>
          <w:ilvl w:val="0"/>
          <w:numId w:val="3"/>
        </w:numPr>
        <w:spacing w:lineRule="auto" w:line="240" w:before="0" w:after="0"/>
        <w:ind w:left="1134" w:hanging="360"/>
        <w:contextualSpacing/>
        <w:jc w:val="both"/>
        <w:rPr/>
      </w:pPr>
      <w:r>
        <w:rPr/>
        <w:t>pisemnego poinformowania Powiatu o dokonaniu wyboru Wykonawcy w ciągu 7 dni od dnia wyboru oraz wskazanie przewidywanej daty zawarcia umowy z Wykonawcą;</w:t>
      </w:r>
    </w:p>
    <w:p>
      <w:pPr>
        <w:pStyle w:val="ListParagraph"/>
        <w:numPr>
          <w:ilvl w:val="0"/>
          <w:numId w:val="3"/>
        </w:numPr>
        <w:spacing w:lineRule="auto" w:line="240" w:before="0" w:after="0"/>
        <w:ind w:left="1134" w:hanging="360"/>
        <w:contextualSpacing/>
        <w:jc w:val="both"/>
        <w:rPr/>
      </w:pPr>
      <w:r>
        <w:rPr/>
        <w:t>zawarcia umowy z Wykonawcą po przekazaniu przez Powiat informacji o przyznaniu Promesy inwestycyjnej;</w:t>
      </w:r>
    </w:p>
    <w:p>
      <w:pPr>
        <w:pStyle w:val="ListParagraph"/>
        <w:numPr>
          <w:ilvl w:val="0"/>
          <w:numId w:val="3"/>
        </w:numPr>
        <w:spacing w:lineRule="auto" w:line="240" w:before="0" w:after="0"/>
        <w:ind w:left="1134" w:hanging="360"/>
        <w:contextualSpacing/>
        <w:jc w:val="both"/>
        <w:rPr/>
      </w:pPr>
      <w:r>
        <w:rPr/>
        <w:t xml:space="preserve">przeprowadzenia Postępowania zakupowego w trybie konkurencyjnym i transparentnym, zgodnie z obowiązującymi w tym zakresie przepisami prawa, w szczególności zgodnie z ustawą </w:t>
        <w:br/>
        <w:t xml:space="preserve">z dnia 11 września 2019 – Prawo zamówień publicznych (tj. Dz. U. z 2023 r. poz. 1655 ze zmianami) jeżeli przepisy tej ustawy znajdują zastosowanie;  </w:t>
      </w:r>
    </w:p>
    <w:p>
      <w:pPr>
        <w:pStyle w:val="ListParagraph"/>
        <w:numPr>
          <w:ilvl w:val="0"/>
          <w:numId w:val="3"/>
        </w:numPr>
        <w:spacing w:lineRule="auto" w:line="240" w:before="0" w:after="0"/>
        <w:ind w:left="1134" w:hanging="360"/>
        <w:contextualSpacing/>
        <w:jc w:val="both"/>
        <w:rPr/>
      </w:pPr>
      <w:r>
        <w:rPr/>
        <w:t xml:space="preserve">udostępnienia Powiatowi 1 egzemplarza Umowy na wykonanie usług/robót będących przedmiotem wniosku o udzielenie dotacji zawartej pomiędzy Beneficjentem dotacji </w:t>
        <w:br/>
        <w:t xml:space="preserve">a Wykonawcą inwestycji na podstawie Postępowania zakupowego, o którym mowa w ust. 1 pkt. 1, </w:t>
      </w:r>
      <w:r>
        <w:rPr>
          <w:u w:val="single"/>
        </w:rPr>
        <w:t>podpisanej po udzieleniu Promesy inwestycyjnej</w:t>
      </w:r>
      <w:r>
        <w:rPr/>
        <w:t>, niezwłocznie po jej zawarciu, nie później jednak niż w terminie 7 dni od daty jej zawarcia.</w:t>
      </w:r>
    </w:p>
    <w:p>
      <w:pPr>
        <w:pStyle w:val="ListParagraph"/>
        <w:numPr>
          <w:ilvl w:val="0"/>
          <w:numId w:val="3"/>
        </w:numPr>
        <w:spacing w:lineRule="auto" w:line="240" w:before="0" w:after="0"/>
        <w:ind w:left="1134" w:hanging="360"/>
        <w:contextualSpacing/>
        <w:jc w:val="both"/>
        <w:rPr/>
      </w:pPr>
      <w:r>
        <w:rPr/>
        <w:t xml:space="preserve">Beneficjent dotacji oświadcza iż zapoznał się z Regulaminem Naboru wniosków                                         o dofinansowanie z Rządowego Programu Odbudowy Zabytów oraz Uchwałą Rady Ministrów nr 232/2022 z dnia 23 listopada 2022 roku dla jednostek samorządu terytorialnego na zadania inwestycyjne związane z ochroną zabytków wraz ze zmianami, i zobowiązuje się do przestrzegania zawartych w przedmiotowych dokumentach zapisów. </w:t>
      </w:r>
    </w:p>
    <w:p>
      <w:pPr>
        <w:pStyle w:val="ListParagraph"/>
        <w:numPr>
          <w:ilvl w:val="0"/>
          <w:numId w:val="2"/>
        </w:numPr>
        <w:spacing w:lineRule="auto" w:line="240" w:before="0" w:after="0"/>
        <w:ind w:left="709" w:hanging="425"/>
        <w:contextualSpacing/>
        <w:jc w:val="both"/>
        <w:rPr/>
      </w:pPr>
      <w:r>
        <w:rPr/>
        <w:t xml:space="preserve">Spełnienie warunków określonych w ust. 1 będzie stanowiło podstawę do zawarcia umowy </w:t>
        <w:br/>
        <w:t xml:space="preserve">o udzielenie dotacji. </w:t>
      </w:r>
    </w:p>
    <w:p>
      <w:pPr>
        <w:pStyle w:val="Normal"/>
        <w:spacing w:lineRule="auto" w:line="240" w:before="0" w:after="0"/>
        <w:jc w:val="both"/>
        <w:rPr/>
      </w:pPr>
      <w:r>
        <w:rPr/>
      </w:r>
    </w:p>
    <w:p>
      <w:pPr>
        <w:pStyle w:val="ListParagraph"/>
        <w:spacing w:lineRule="auto" w:line="240" w:before="0" w:after="0"/>
        <w:ind w:left="0" w:hanging="0"/>
        <w:contextualSpacing/>
        <w:jc w:val="center"/>
        <w:rPr/>
      </w:pPr>
      <w:r>
        <w:rPr/>
        <w:t>§ 4</w:t>
      </w:r>
    </w:p>
    <w:p>
      <w:pPr>
        <w:pStyle w:val="ListParagraph"/>
        <w:numPr>
          <w:ilvl w:val="0"/>
          <w:numId w:val="6"/>
        </w:numPr>
        <w:spacing w:lineRule="auto" w:line="240" w:before="0" w:after="0"/>
        <w:contextualSpacing/>
        <w:rPr/>
      </w:pPr>
      <w:r>
        <w:rPr/>
        <w:t>Procentowy udział dofinansowania  z Rządowego Programu Odbudowy Zabytków w całkowitych kosztach zadania wynosi nie więcej niż 98 % kosztów zadania i nie więcej niż 172.324,50 zł.</w:t>
      </w:r>
    </w:p>
    <w:p>
      <w:pPr>
        <w:pStyle w:val="ListParagraph"/>
        <w:numPr>
          <w:ilvl w:val="0"/>
          <w:numId w:val="6"/>
        </w:numPr>
        <w:spacing w:lineRule="auto" w:line="240" w:before="0" w:after="0"/>
        <w:contextualSpacing/>
        <w:jc w:val="both"/>
        <w:rPr/>
      </w:pPr>
      <w:r>
        <w:rPr/>
        <w:t xml:space="preserve">Wzrost kosztów zadania oraz zwiększenie zakresu prac nie spowodują zwiększenia dotacji. Beneficjent dotacji zobowiązany jest we własnym zakresie do pokrycia  wzrostu kosztów zadania oraz kosztów zwiększenia zakresu prac. </w:t>
      </w:r>
    </w:p>
    <w:p>
      <w:pPr>
        <w:pStyle w:val="ListParagraph"/>
        <w:numPr>
          <w:ilvl w:val="0"/>
          <w:numId w:val="6"/>
        </w:numPr>
        <w:spacing w:lineRule="auto" w:line="240" w:before="0" w:after="0"/>
        <w:contextualSpacing/>
        <w:jc w:val="both"/>
        <w:rPr/>
      </w:pPr>
      <w:r>
        <w:rPr/>
        <w:t>Koszty związane z realizacją zadania, poniesione przez Beneficjenta dotacji przed dniem zawarcia umowy dotacji, nie mogą zostać rozliczone ze środków dotacji.</w:t>
      </w:r>
    </w:p>
    <w:p>
      <w:pPr>
        <w:pStyle w:val="ListParagraph"/>
        <w:numPr>
          <w:ilvl w:val="0"/>
          <w:numId w:val="6"/>
        </w:numPr>
        <w:spacing w:lineRule="auto" w:line="240" w:before="0" w:after="0"/>
        <w:contextualSpacing/>
        <w:jc w:val="both"/>
        <w:rPr/>
      </w:pPr>
      <w:r>
        <w:rPr/>
        <w:t xml:space="preserve">Wszystkie wydatki na realizację zadania muszą być ponoszone w formie przelewu na podstawie uprzednio wystawionej przez Wykonawcę faktury, której Nabywcą i Odbiorcą jest Beneficjent dotacji. </w:t>
      </w:r>
    </w:p>
    <w:p>
      <w:pPr>
        <w:pStyle w:val="ListParagraph"/>
        <w:numPr>
          <w:ilvl w:val="0"/>
          <w:numId w:val="6"/>
        </w:numPr>
        <w:spacing w:lineRule="auto" w:line="240" w:before="0" w:after="0"/>
        <w:contextualSpacing/>
        <w:jc w:val="both"/>
        <w:rPr/>
      </w:pPr>
      <w:r>
        <w:rPr/>
        <w:t>Beneficjent dotacji, który w ciągu 5 lat od daty otrzymania dotacji sprzeda obiekt zabytkowy odnowiony w ramach przyznanej dotacji lub nie zapewni trwałości rezultatów zadania, zobowiązany jest do zwrotu przyznanej dotacji wraz z odsetkami w wysokości określonej jak dla zaległości podatkowych.</w:t>
      </w:r>
    </w:p>
    <w:p>
      <w:pPr>
        <w:pStyle w:val="Normal"/>
        <w:spacing w:lineRule="auto" w:line="240" w:before="0" w:after="0"/>
        <w:jc w:val="both"/>
        <w:rPr/>
      </w:pPr>
      <w:r>
        <w:rPr/>
      </w:r>
    </w:p>
    <w:p>
      <w:pPr>
        <w:pStyle w:val="Normal"/>
        <w:spacing w:lineRule="auto" w:line="240" w:before="0" w:after="0"/>
        <w:jc w:val="center"/>
        <w:rPr/>
      </w:pPr>
      <w:r>
        <w:rPr/>
        <w:t>§5</w:t>
      </w:r>
    </w:p>
    <w:p>
      <w:pPr>
        <w:pStyle w:val="ListParagraph"/>
        <w:numPr>
          <w:ilvl w:val="0"/>
          <w:numId w:val="7"/>
        </w:numPr>
        <w:spacing w:lineRule="auto" w:line="240" w:before="0" w:after="0"/>
        <w:ind w:left="709" w:hanging="360"/>
        <w:contextualSpacing/>
        <w:jc w:val="both"/>
        <w:rPr/>
      </w:pPr>
      <w:r>
        <w:rPr/>
        <w:t>Beneficjent dotacji oświadcza, że posiada środki finansowe i zasoby rzeczowe i kadrowe zapewniające wykonanie zadania oraz zobowiązuje się do:</w:t>
      </w:r>
    </w:p>
    <w:p>
      <w:pPr>
        <w:pStyle w:val="ListParagraph"/>
        <w:numPr>
          <w:ilvl w:val="0"/>
          <w:numId w:val="8"/>
        </w:numPr>
        <w:spacing w:lineRule="auto" w:line="240" w:before="0" w:after="0"/>
        <w:contextualSpacing/>
        <w:jc w:val="both"/>
        <w:rPr/>
      </w:pPr>
      <w:r>
        <w:rPr/>
        <w:t>przechowywania dokumentacji finansowo-księgowej przez okres 5 lat, licząc od dnia rozliczenia dotacji do końca roku kalendarzowego, w którym upływa ten okres;</w:t>
      </w:r>
    </w:p>
    <w:p>
      <w:pPr>
        <w:pStyle w:val="ListParagraph"/>
        <w:numPr>
          <w:ilvl w:val="0"/>
          <w:numId w:val="8"/>
        </w:numPr>
        <w:spacing w:lineRule="auto" w:line="240" w:before="0" w:after="0"/>
        <w:contextualSpacing/>
        <w:jc w:val="both"/>
        <w:rPr/>
      </w:pPr>
      <w:r>
        <w:rPr/>
        <w:t>poddania się kontroli w zakresie należytego wykonania zadania, w tym udostępnienia dokumentacji technicznej i finansowej;</w:t>
      </w:r>
    </w:p>
    <w:p>
      <w:pPr>
        <w:pStyle w:val="ListParagraph"/>
        <w:numPr>
          <w:ilvl w:val="0"/>
          <w:numId w:val="8"/>
        </w:numPr>
        <w:spacing w:lineRule="auto" w:line="240" w:before="0" w:after="0"/>
        <w:contextualSpacing/>
        <w:jc w:val="both"/>
        <w:rPr/>
      </w:pPr>
      <w:r>
        <w:rPr/>
        <w:t>niezwłocznego poinformowania Powiatu o otrzymaniu dotacji z innych źródeł na realizację zadania pokrywającego się chociażby w części z zakresem opisanym we wniosku każdorazowo po otrzymaniu informacji o przyznaniu dofinansowania z innych źródeł;</w:t>
      </w:r>
    </w:p>
    <w:p>
      <w:pPr>
        <w:pStyle w:val="ListParagraph"/>
        <w:numPr>
          <w:ilvl w:val="0"/>
          <w:numId w:val="8"/>
        </w:numPr>
        <w:spacing w:lineRule="auto" w:line="240" w:before="0" w:after="0"/>
        <w:contextualSpacing/>
        <w:jc w:val="both"/>
        <w:rPr/>
      </w:pPr>
      <w:r>
        <w:rPr/>
        <w:t xml:space="preserve">przeprowadzenia działań promocyjnych i informacyjnych w związku z otrzymaną dotacją, w tym zamontowania tablicy informacyjnej przed rozpoczęciem prac zgodnie z wzorem stanowiącym załącznik nr 2 do niniejszego Porozumienia. Działania informacyjne powinny być podejmowane </w:t>
        <w:br/>
        <w:t>z uwzględnieniem przepisów rozporządzenia Rady Ministrów z dnia 7 maja 2021 r. w sprawie określenia działań informacyjnych podejmowanych przez podmioty realizujące zadania finansowane lub dofinansowane z budżetu państwa lub z państwowych funduszy celowych (Dz. U. poz. 953 ze zm.).</w:t>
      </w:r>
    </w:p>
    <w:p>
      <w:pPr>
        <w:pStyle w:val="Normal"/>
        <w:spacing w:lineRule="auto" w:line="240" w:before="0" w:after="0"/>
        <w:jc w:val="both"/>
        <w:rPr/>
      </w:pPr>
      <w:r>
        <w:rPr/>
      </w:r>
    </w:p>
    <w:p>
      <w:pPr>
        <w:pStyle w:val="Normal"/>
        <w:spacing w:lineRule="auto" w:line="240" w:before="0" w:after="0"/>
        <w:jc w:val="center"/>
        <w:rPr/>
      </w:pPr>
      <w:r>
        <w:rPr/>
        <w:t>§ 6</w:t>
      </w:r>
    </w:p>
    <w:p>
      <w:pPr>
        <w:pStyle w:val="ListParagraph"/>
        <w:numPr>
          <w:ilvl w:val="0"/>
          <w:numId w:val="9"/>
        </w:numPr>
        <w:spacing w:lineRule="auto" w:line="240" w:before="0" w:after="0"/>
        <w:ind w:left="709" w:hanging="360"/>
        <w:contextualSpacing/>
        <w:jc w:val="both"/>
        <w:rPr/>
      </w:pPr>
      <w:r>
        <w:rPr/>
        <w:t>Powiat sprawuje kontrolę prawidłowości wydatkowania przekazanej dotacji oraz środków, o których mowa w § 2 ust. 2. Kontrola może być przeprowadzona w roku realizacji zadania oraz po jego zakończeniu.</w:t>
      </w:r>
    </w:p>
    <w:p>
      <w:pPr>
        <w:pStyle w:val="ListParagraph"/>
        <w:numPr>
          <w:ilvl w:val="0"/>
          <w:numId w:val="9"/>
        </w:numPr>
        <w:spacing w:lineRule="auto" w:line="240" w:before="0" w:after="0"/>
        <w:ind w:left="709" w:hanging="360"/>
        <w:contextualSpacing/>
        <w:jc w:val="both"/>
        <w:rPr/>
      </w:pPr>
      <w:r>
        <w:rPr/>
        <w:t>W ramach kontroli osoby upoważnione przez Powiat mogą dokonywać oględzin zabytku, badać dokumenty i inne nośniki informacji, które mają lub mogą mieć znaczenie dla oceny prawidłowości wykonywania zadania, oraz żądać udzielenia ustnie lub na piśmie informacji dotyczących wykonania zadania. Beneficjent dotacji na żądanie kontrolującego zobowiązuje się dostarczyć lub udostępnić dokumenty i inne nośniki informacji oraz udzielić wyjaśnień i informacji w terminie określonym przez kontrolującego.</w:t>
      </w:r>
    </w:p>
    <w:p>
      <w:pPr>
        <w:pStyle w:val="ListParagraph"/>
        <w:numPr>
          <w:ilvl w:val="0"/>
          <w:numId w:val="9"/>
        </w:numPr>
        <w:spacing w:lineRule="auto" w:line="240" w:before="0" w:after="0"/>
        <w:ind w:left="709" w:hanging="360"/>
        <w:contextualSpacing/>
        <w:jc w:val="both"/>
        <w:rPr/>
      </w:pPr>
      <w:r>
        <w:rPr/>
        <w:t>O wynikach kontroli Powiat poinformuje Beneficjenta dotacji, a w przypadku stwierdzenia nieprawidłowości przekaże mu wnioski i zalecenia mające na celu ich usunięcie.</w:t>
      </w:r>
    </w:p>
    <w:p>
      <w:pPr>
        <w:pStyle w:val="ListParagraph"/>
        <w:numPr>
          <w:ilvl w:val="0"/>
          <w:numId w:val="9"/>
        </w:numPr>
        <w:spacing w:lineRule="auto" w:line="240" w:before="0" w:after="0"/>
        <w:ind w:left="709" w:hanging="360"/>
        <w:contextualSpacing/>
        <w:jc w:val="both"/>
        <w:rPr/>
      </w:pPr>
      <w:r>
        <w:rPr/>
        <w:t xml:space="preserve">Beneficjent dotacji jest zobowiązany w terminie do 14 dni od dnia otrzymania wniosków i zaleceń, </w:t>
        <w:br/>
        <w:t>o których mowa w ust. 3, do ich wykonania i powiadomienia Powiatu o sposobie ich wykonania.</w:t>
      </w:r>
    </w:p>
    <w:p>
      <w:pPr>
        <w:pStyle w:val="Normal"/>
        <w:spacing w:lineRule="auto" w:line="240" w:before="0" w:after="0"/>
        <w:jc w:val="both"/>
        <w:rPr/>
      </w:pPr>
      <w:r>
        <w:rPr/>
      </w:r>
    </w:p>
    <w:p>
      <w:pPr>
        <w:pStyle w:val="Normal"/>
        <w:spacing w:lineRule="auto" w:line="240" w:before="0" w:after="0"/>
        <w:jc w:val="center"/>
        <w:rPr/>
      </w:pPr>
      <w:r>
        <w:rPr/>
        <w:t>§ 7</w:t>
      </w:r>
    </w:p>
    <w:p>
      <w:pPr>
        <w:pStyle w:val="ListParagraph"/>
        <w:numPr>
          <w:ilvl w:val="0"/>
          <w:numId w:val="10"/>
        </w:numPr>
        <w:spacing w:lineRule="auto" w:line="240" w:before="0" w:after="0"/>
        <w:ind w:left="709" w:hanging="360"/>
        <w:contextualSpacing/>
        <w:jc w:val="both"/>
        <w:rPr/>
      </w:pPr>
      <w:r>
        <w:rPr/>
        <w:t>Ze strony Powiatu realizacją Porozumienia będzie się zajmować:</w:t>
      </w:r>
    </w:p>
    <w:p>
      <w:pPr>
        <w:pStyle w:val="Normal"/>
        <w:spacing w:lineRule="auto" w:line="240" w:before="0" w:after="0"/>
        <w:ind w:left="709" w:hanging="0"/>
        <w:jc w:val="both"/>
        <w:rPr/>
      </w:pPr>
      <w:r>
        <w:rPr/>
        <w:t>Monika Adasiak, Joanna Chaładaj</w:t>
      </w:r>
    </w:p>
    <w:p>
      <w:pPr>
        <w:pStyle w:val="ListParagraph"/>
        <w:numPr>
          <w:ilvl w:val="0"/>
          <w:numId w:val="10"/>
        </w:numPr>
        <w:spacing w:lineRule="auto" w:line="240" w:before="0" w:after="0"/>
        <w:ind w:left="709" w:hanging="360"/>
        <w:contextualSpacing/>
        <w:jc w:val="both"/>
        <w:rPr/>
      </w:pPr>
      <w:r>
        <w:rPr/>
        <w:t>Ze strony Beneficjenta dotacji realizacją Porozumienia będzie się zajmować:</w:t>
      </w:r>
    </w:p>
    <w:p>
      <w:pPr>
        <w:pStyle w:val="Normal"/>
        <w:spacing w:lineRule="auto" w:line="240" w:before="0" w:after="0"/>
        <w:jc w:val="both"/>
        <w:rPr/>
      </w:pPr>
      <w:r>
        <w:rPr/>
        <w:tab/>
        <w:t>Pan/i ks. Robert Mordalski, tel. 664 755 802,  532 332 243, e-mail: ks.r.mordalski@archiczest.pl</w:t>
      </w:r>
    </w:p>
    <w:p>
      <w:pPr>
        <w:pStyle w:val="ListParagraph"/>
        <w:numPr>
          <w:ilvl w:val="0"/>
          <w:numId w:val="10"/>
        </w:numPr>
        <w:spacing w:lineRule="auto" w:line="240" w:before="0" w:after="0"/>
        <w:ind w:left="709" w:hanging="360"/>
        <w:contextualSpacing/>
        <w:jc w:val="both"/>
        <w:rPr/>
      </w:pPr>
      <w:r>
        <w:rPr/>
        <w:t>Zmiana osób, o których mowa w ust. 1 i 2 i/lub danych kontaktowych, nie powoduje zmiany Porozumienia. Zmiana następuje poprzez pisemne oświadczenie złożone drugiej Stronie o dokonaniu zmiany i ustanowieniu innej osoby lub osób i/lub danych kontaktowych do kontaktów związanych z realizacją niniejszego Porozumienia.</w:t>
      </w:r>
    </w:p>
    <w:p>
      <w:pPr>
        <w:pStyle w:val="Normal"/>
        <w:spacing w:lineRule="auto" w:line="240" w:before="0" w:after="0"/>
        <w:jc w:val="both"/>
        <w:rPr/>
      </w:pPr>
      <w:r>
        <w:rPr/>
      </w:r>
    </w:p>
    <w:p>
      <w:pPr>
        <w:pStyle w:val="Normal"/>
        <w:spacing w:lineRule="auto" w:line="240" w:before="0" w:after="0"/>
        <w:ind w:left="142" w:hanging="0"/>
        <w:jc w:val="center"/>
        <w:rPr/>
      </w:pPr>
      <w:r>
        <w:rPr/>
        <w:t>§ 8</w:t>
      </w:r>
    </w:p>
    <w:p>
      <w:pPr>
        <w:pStyle w:val="ListParagraph"/>
        <w:numPr>
          <w:ilvl w:val="0"/>
          <w:numId w:val="11"/>
        </w:numPr>
        <w:spacing w:lineRule="auto" w:line="240" w:before="0" w:after="0"/>
        <w:ind w:left="709" w:hanging="360"/>
        <w:contextualSpacing/>
        <w:jc w:val="both"/>
        <w:rPr/>
      </w:pPr>
      <w:r>
        <w:rPr/>
        <w:t>Wszelkie zmiany i uzupełnienia niniejszego Porozumienia mogą być dokonywane jedynie w formie pisemnej pod rygorem nieważności.</w:t>
      </w:r>
    </w:p>
    <w:p>
      <w:pPr>
        <w:pStyle w:val="ListParagraph"/>
        <w:numPr>
          <w:ilvl w:val="0"/>
          <w:numId w:val="11"/>
        </w:numPr>
        <w:spacing w:lineRule="auto" w:line="240" w:before="0" w:after="0"/>
        <w:ind w:left="709" w:hanging="360"/>
        <w:contextualSpacing/>
        <w:jc w:val="both"/>
        <w:rPr/>
      </w:pPr>
      <w:r>
        <w:rPr/>
        <w:t xml:space="preserve">Dopuszcza się zmianę niniejszego Porozumienia w stosunku do treści wniosku, na podstawie którego dokonano wyboru Beneficjenta dotacji, polegającą na zmianie danych Beneficjenta bez zmiany samego Beneficjenta dotacji np. zmiana siedziby, adresu, nazwy, pod warunkiem uzyskania wcześniejszej akceptacji wprowadzenia tychże zmian przez Bank Gospodarstwa Krajowego, </w:t>
        <w:br/>
        <w:t xml:space="preserve">na podstawie pisemnego wniosku Beneficjenta dotacji, zawierającego nowy opis prac zawartych we wniosku wraz z uzasadnieniem zmian,  skierowanego do Powiatu. </w:t>
      </w:r>
    </w:p>
    <w:p>
      <w:pPr>
        <w:pStyle w:val="Normal"/>
        <w:spacing w:lineRule="auto" w:line="240" w:before="0" w:after="0"/>
        <w:jc w:val="both"/>
        <w:rPr/>
      </w:pPr>
      <w:r>
        <w:rPr/>
      </w:r>
    </w:p>
    <w:p>
      <w:pPr>
        <w:pStyle w:val="Normal"/>
        <w:spacing w:lineRule="auto" w:line="240" w:before="0" w:after="0"/>
        <w:jc w:val="center"/>
        <w:rPr/>
      </w:pPr>
      <w:r>
        <w:rPr/>
        <w:t>§ 9</w:t>
      </w:r>
    </w:p>
    <w:p>
      <w:pPr>
        <w:pStyle w:val="ListParagraph"/>
        <w:numPr>
          <w:ilvl w:val="0"/>
          <w:numId w:val="12"/>
        </w:numPr>
        <w:spacing w:lineRule="auto" w:line="240" w:before="0" w:after="0"/>
        <w:ind w:left="709" w:hanging="360"/>
        <w:contextualSpacing/>
        <w:jc w:val="both"/>
        <w:rPr/>
      </w:pPr>
      <w:r>
        <w:rPr>
          <w:rFonts w:cs="Calibri"/>
        </w:rPr>
        <w:t>Strony niniejszego Porozumienia oświadczają, że przetwarzają dane osobowe zgodnie z przepisami Rozporządzenia Parlamentu Europejskiego i Rady (UE) 2016/679 z dnia 27 kwietnia 2016 r.,                           w sprawie ochrony osób fizycznych w związku z przetwarzaniem danych osobowych i w sprawie swobodnego przepływu takich danych oraz uchylenia Dyrektywy 95/46/WE ( zwanego dalej ,,Rozporządzeniem” lub ,,RODO”).</w:t>
      </w:r>
    </w:p>
    <w:p>
      <w:pPr>
        <w:pStyle w:val="ListParagraph"/>
        <w:numPr>
          <w:ilvl w:val="0"/>
          <w:numId w:val="12"/>
        </w:numPr>
        <w:suppressAutoHyphens w:val="true"/>
        <w:spacing w:lineRule="auto" w:line="276" w:before="0" w:after="0"/>
        <w:ind w:left="709" w:hanging="360"/>
        <w:contextualSpacing/>
        <w:jc w:val="both"/>
        <w:rPr/>
      </w:pPr>
      <w:r>
        <w:rPr/>
        <w:t xml:space="preserve">Strony zobowiązują się w okresie obowiązywania porozumienia, jak również po jej zakończeniu </w:t>
        <w:br/>
        <w:t xml:space="preserve">do zachowania w tajemnicy wszelkich pozyskanych w związku z realizacją niniejszego porozumienia informacji, materiałów, dokumentów i danych osobowych otrzymanych od stron i od osób z nimi współpracujących oraz danych uzyskanych w jakikolwiek inny sposób zamierzony lub przypadkowy </w:t>
        <w:br/>
        <w:t>w formie ustnej, pisemnej czy elektronicznej (dane poufne).</w:t>
      </w:r>
    </w:p>
    <w:p>
      <w:pPr>
        <w:pStyle w:val="ListParagraph"/>
        <w:numPr>
          <w:ilvl w:val="0"/>
          <w:numId w:val="12"/>
        </w:numPr>
        <w:suppressAutoHyphens w:val="true"/>
        <w:spacing w:lineRule="auto" w:line="276" w:before="0" w:after="0"/>
        <w:ind w:left="709" w:hanging="360"/>
        <w:contextualSpacing/>
        <w:jc w:val="both"/>
        <w:rPr/>
      </w:pPr>
      <w:r>
        <w:rPr>
          <w:rFonts w:cs="Calibri"/>
        </w:rPr>
        <w:t>Wskazane w ust. 1 oraz ust. 2 dane będą przetwarzane wyłącznie w celu realizacji niniejszego porozumienia i nie będą przekazywane do dalszego przetwarzania bez zgody drugiej strony wyrażonej na piśmie po rygorem nieważności, z zastrzeżeniem ich udostępnienia innym podmiotom w oparciu o obowiązujące przepisy prawa.</w:t>
      </w:r>
    </w:p>
    <w:p>
      <w:pPr>
        <w:pStyle w:val="ListParagraph"/>
        <w:numPr>
          <w:ilvl w:val="0"/>
          <w:numId w:val="12"/>
        </w:numPr>
        <w:suppressAutoHyphens w:val="true"/>
        <w:spacing w:lineRule="auto" w:line="276" w:before="0" w:after="0"/>
        <w:ind w:left="709" w:hanging="360"/>
        <w:contextualSpacing/>
        <w:jc w:val="both"/>
        <w:rPr/>
      </w:pPr>
      <w:r>
        <w:rPr>
          <w:rFonts w:cs="Calibri"/>
        </w:rPr>
        <w:t>Jeżeli w trakcie realizacji porozumienia wystąpi konieczność powierzenia danych osobowych, strony sporządzą umowę powierzenia danych zgodną z art. 28 RODO.</w:t>
      </w:r>
    </w:p>
    <w:p>
      <w:pPr>
        <w:pStyle w:val="ListParagraph"/>
        <w:numPr>
          <w:ilvl w:val="0"/>
          <w:numId w:val="12"/>
        </w:numPr>
        <w:suppressAutoHyphens w:val="true"/>
        <w:spacing w:lineRule="auto" w:line="276" w:before="0" w:after="0"/>
        <w:ind w:left="709" w:hanging="360"/>
        <w:contextualSpacing/>
        <w:jc w:val="both"/>
        <w:rPr/>
      </w:pPr>
      <w:r>
        <w:rPr>
          <w:rFonts w:cs="Calibri"/>
        </w:rPr>
        <w:t>Integralną częścią porozumienia jest klauzula informacyjna stanowiąca załącznik nr 1  do niniejszego porozumienia.</w:t>
      </w:r>
    </w:p>
    <w:p>
      <w:pPr>
        <w:pStyle w:val="Normal"/>
        <w:spacing w:lineRule="auto" w:line="240" w:before="0" w:after="0"/>
        <w:jc w:val="center"/>
        <w:rPr/>
      </w:pPr>
      <w:r>
        <w:rPr/>
        <w:t>§ 10</w:t>
      </w:r>
    </w:p>
    <w:p>
      <w:pPr>
        <w:pStyle w:val="ListParagraph"/>
        <w:numPr>
          <w:ilvl w:val="0"/>
          <w:numId w:val="13"/>
        </w:numPr>
        <w:spacing w:lineRule="auto" w:line="240" w:before="0" w:after="0"/>
        <w:contextualSpacing/>
        <w:jc w:val="both"/>
        <w:rPr/>
      </w:pPr>
      <w:r>
        <w:rPr/>
        <w:t>W sprawach nieuregulowanych niniejszym porozumieniem zastosowanie mają przepisy prawa powszechnie obowiązującego, w szczególności przepisy Kodeksu Cywilnego.</w:t>
      </w:r>
    </w:p>
    <w:p>
      <w:pPr>
        <w:pStyle w:val="ListParagraph"/>
        <w:numPr>
          <w:ilvl w:val="0"/>
          <w:numId w:val="13"/>
        </w:numPr>
        <w:spacing w:lineRule="auto" w:line="240" w:before="0" w:after="0"/>
        <w:contextualSpacing/>
        <w:jc w:val="both"/>
        <w:rPr/>
      </w:pPr>
      <w:r>
        <w:rPr/>
        <w:t>Ewentualne spory pomiędzy Stronami powstałe w związku z zawartym porozumieniem rozstrzygane będą przez sąd powszechny właściwy ze względu na siedzibę Powiatu.</w:t>
      </w:r>
    </w:p>
    <w:p>
      <w:pPr>
        <w:pStyle w:val="ListParagraph"/>
        <w:numPr>
          <w:ilvl w:val="0"/>
          <w:numId w:val="13"/>
        </w:numPr>
        <w:spacing w:lineRule="auto" w:line="240" w:before="0" w:after="0"/>
        <w:contextualSpacing/>
        <w:jc w:val="both"/>
        <w:rPr/>
      </w:pPr>
      <w:r>
        <w:rPr/>
        <w:t xml:space="preserve">Niniejsze porozumienie zostało sporządzone w 2 jednobrzmiących egzemplarzach po 1 dla każdej </w:t>
        <w:br/>
        <w:t>ze Stron.</w:t>
      </w:r>
    </w:p>
    <w:p>
      <w:pPr>
        <w:pStyle w:val="Normal"/>
        <w:rPr/>
      </w:pPr>
      <w:r>
        <w:rPr/>
      </w:r>
    </w:p>
    <w:p>
      <w:pPr>
        <w:pStyle w:val="Normal"/>
        <w:rPr/>
      </w:pPr>
      <w:r>
        <w:rPr/>
      </w:r>
    </w:p>
    <w:p>
      <w:pPr>
        <w:pStyle w:val="Normal"/>
        <w:rPr/>
      </w:pPr>
      <w:r>
        <w:rPr/>
        <w:t>………………………………………………………</w:t>
      </w:r>
      <w:r>
        <w:rPr/>
        <w:t>.</w:t>
        <w:tab/>
        <w:tab/>
        <w:tab/>
        <w:tab/>
        <w:t>……………………………………………………….</w:t>
      </w:r>
    </w:p>
    <w:p>
      <w:pPr>
        <w:pStyle w:val="Normal"/>
        <w:ind w:firstLine="708"/>
        <w:rPr/>
      </w:pPr>
      <w:r>
        <w:rPr/>
        <w:t xml:space="preserve">   </w:t>
      </w:r>
      <w:r>
        <w:rPr/>
        <w:t>Powiat</w:t>
        <w:tab/>
        <w:tab/>
        <w:tab/>
        <w:tab/>
        <w:tab/>
        <w:tab/>
        <w:tab/>
        <w:t xml:space="preserve">   Beneficjent dotacji</w:t>
      </w:r>
    </w:p>
    <w:p>
      <w:pPr>
        <w:pStyle w:val="Normal"/>
        <w:rPr/>
      </w:pPr>
      <w:r>
        <w:rPr/>
      </w:r>
    </w:p>
    <w:p>
      <w:pPr>
        <w:pStyle w:val="Normal"/>
        <w:rPr/>
      </w:pPr>
      <w:r>
        <w:rPr/>
        <w:t xml:space="preserve">Załącznik nr 1 </w:t>
      </w:r>
      <w:r>
        <w:rPr>
          <w:rFonts w:cs="Calibri"/>
        </w:rPr>
        <w:t>klauzula informacyjna</w:t>
      </w:r>
    </w:p>
    <w:p>
      <w:pPr>
        <w:pStyle w:val="Normal"/>
        <w:widowControl/>
        <w:bidi w:val="0"/>
        <w:spacing w:lineRule="auto" w:line="259" w:before="0" w:after="160"/>
        <w:jc w:val="left"/>
        <w:rPr/>
      </w:pPr>
      <w:r>
        <w:rPr/>
        <w:t>Załącznik nr 2 wzór tablicy informacyjnej</w:t>
      </w:r>
    </w:p>
    <w:sectPr>
      <w:type w:val="nextPage"/>
      <w:pgSz w:w="11906" w:h="16838"/>
      <w:pgMar w:left="1080" w:right="108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3">
    <w:lvl w:ilvl="0">
      <w:start w:val="1"/>
      <w:numFmt w:val="decimal"/>
      <w:lvlText w:val="%1)"/>
      <w:lvlJc w:val="left"/>
      <w:pPr>
        <w:tabs>
          <w:tab w:val="num" w:pos="0"/>
        </w:tabs>
        <w:ind w:left="4972" w:hanging="360"/>
      </w:pPr>
      <w:rPr>
        <w:rFonts w:ascii="Calibri" w:hAnsi="Calibri" w:eastAsia="Calibri" w:cs="" w:asciiTheme="minorHAnsi" w:cstheme="minorBidi" w:eastAsiaTheme="minorHAnsi" w:hAnsiTheme="minorHAnsi"/>
      </w:rPr>
    </w:lvl>
    <w:lvl w:ilvl="1">
      <w:start w:val="1"/>
      <w:numFmt w:val="lowerLetter"/>
      <w:lvlText w:val="%2."/>
      <w:lvlJc w:val="left"/>
      <w:pPr>
        <w:tabs>
          <w:tab w:val="num" w:pos="0"/>
        </w:tabs>
        <w:ind w:left="5692" w:hanging="360"/>
      </w:pPr>
      <w:rPr/>
    </w:lvl>
    <w:lvl w:ilvl="2">
      <w:start w:val="1"/>
      <w:numFmt w:val="lowerRoman"/>
      <w:lvlText w:val="%3."/>
      <w:lvlJc w:val="right"/>
      <w:pPr>
        <w:tabs>
          <w:tab w:val="num" w:pos="0"/>
        </w:tabs>
        <w:ind w:left="6412" w:hanging="180"/>
      </w:pPr>
      <w:rPr/>
    </w:lvl>
    <w:lvl w:ilvl="3">
      <w:start w:val="1"/>
      <w:numFmt w:val="decimal"/>
      <w:lvlText w:val="%4."/>
      <w:lvlJc w:val="left"/>
      <w:pPr>
        <w:tabs>
          <w:tab w:val="num" w:pos="0"/>
        </w:tabs>
        <w:ind w:left="7132" w:hanging="360"/>
      </w:pPr>
      <w:rPr/>
    </w:lvl>
    <w:lvl w:ilvl="4">
      <w:start w:val="1"/>
      <w:numFmt w:val="lowerLetter"/>
      <w:lvlText w:val="%5."/>
      <w:lvlJc w:val="left"/>
      <w:pPr>
        <w:tabs>
          <w:tab w:val="num" w:pos="0"/>
        </w:tabs>
        <w:ind w:left="7852" w:hanging="360"/>
      </w:pPr>
      <w:rPr/>
    </w:lvl>
    <w:lvl w:ilvl="5">
      <w:start w:val="1"/>
      <w:numFmt w:val="lowerRoman"/>
      <w:lvlText w:val="%6."/>
      <w:lvlJc w:val="right"/>
      <w:pPr>
        <w:tabs>
          <w:tab w:val="num" w:pos="0"/>
        </w:tabs>
        <w:ind w:left="8572" w:hanging="180"/>
      </w:pPr>
      <w:rPr/>
    </w:lvl>
    <w:lvl w:ilvl="6">
      <w:start w:val="1"/>
      <w:numFmt w:val="decimal"/>
      <w:lvlText w:val="%7."/>
      <w:lvlJc w:val="left"/>
      <w:pPr>
        <w:tabs>
          <w:tab w:val="num" w:pos="0"/>
        </w:tabs>
        <w:ind w:left="9292" w:hanging="360"/>
      </w:pPr>
      <w:rPr/>
    </w:lvl>
    <w:lvl w:ilvl="7">
      <w:start w:val="1"/>
      <w:numFmt w:val="lowerLetter"/>
      <w:lvlText w:val="%8."/>
      <w:lvlJc w:val="left"/>
      <w:pPr>
        <w:tabs>
          <w:tab w:val="num" w:pos="0"/>
        </w:tabs>
        <w:ind w:left="10012" w:hanging="360"/>
      </w:pPr>
      <w:rPr/>
    </w:lvl>
    <w:lvl w:ilvl="8">
      <w:start w:val="1"/>
      <w:numFmt w:val="lowerRoman"/>
      <w:lvlText w:val="%9."/>
      <w:lvlJc w:val="right"/>
      <w:pPr>
        <w:tabs>
          <w:tab w:val="num" w:pos="0"/>
        </w:tabs>
        <w:ind w:left="10732" w:hanging="180"/>
      </w:pPr>
      <w:rPr/>
    </w:lvl>
  </w:abstractNum>
  <w:abstractNum w:abstractNumId="4">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5">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rFonts w:ascii="Calibri" w:hAnsi="Calibri" w:eastAsia="Calibri" w:cs="" w:asciiTheme="minorHAnsi" w:cstheme="minorBidi" w:eastAsiaTheme="minorHAnsi" w:hAnsiTheme="minorHAnsi"/>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0">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1">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2">
    <w:lvl w:ilvl="0">
      <w:start w:val="1"/>
      <w:numFmt w:val="decimal"/>
      <w:lvlText w:val="%1."/>
      <w:lvlJc w:val="left"/>
      <w:pPr>
        <w:tabs>
          <w:tab w:val="num" w:pos="0"/>
        </w:tabs>
        <w:ind w:left="1800" w:hanging="360"/>
      </w:pPr>
      <w:rPr/>
    </w:lvl>
    <w:lvl w:ilvl="1">
      <w:start w:val="1"/>
      <w:numFmt w:val="lowerLetter"/>
      <w:lvlText w:val="%2."/>
      <w:lvlJc w:val="left"/>
      <w:pPr>
        <w:tabs>
          <w:tab w:val="num" w:pos="0"/>
        </w:tabs>
        <w:ind w:left="2520" w:hanging="360"/>
      </w:pPr>
      <w:rPr/>
    </w:lvl>
    <w:lvl w:ilvl="2">
      <w:start w:val="1"/>
      <w:numFmt w:val="lowerRoman"/>
      <w:lvlText w:val="%3."/>
      <w:lvlJc w:val="right"/>
      <w:pPr>
        <w:tabs>
          <w:tab w:val="num" w:pos="0"/>
        </w:tabs>
        <w:ind w:left="3240" w:hanging="180"/>
      </w:pPr>
      <w:rPr/>
    </w:lvl>
    <w:lvl w:ilvl="3">
      <w:start w:val="1"/>
      <w:numFmt w:val="decimal"/>
      <w:lvlText w:val="%4."/>
      <w:lvlJc w:val="left"/>
      <w:pPr>
        <w:tabs>
          <w:tab w:val="num" w:pos="0"/>
        </w:tabs>
        <w:ind w:left="3960" w:hanging="360"/>
      </w:pPr>
      <w:rPr/>
    </w:lvl>
    <w:lvl w:ilvl="4">
      <w:start w:val="1"/>
      <w:numFmt w:val="lowerLetter"/>
      <w:lvlText w:val="%5."/>
      <w:lvlJc w:val="left"/>
      <w:pPr>
        <w:tabs>
          <w:tab w:val="num" w:pos="0"/>
        </w:tabs>
        <w:ind w:left="4680" w:hanging="360"/>
      </w:pPr>
      <w:rPr/>
    </w:lvl>
    <w:lvl w:ilvl="5">
      <w:start w:val="1"/>
      <w:numFmt w:val="lowerRoman"/>
      <w:lvlText w:val="%6."/>
      <w:lvlJc w:val="right"/>
      <w:pPr>
        <w:tabs>
          <w:tab w:val="num" w:pos="0"/>
        </w:tabs>
        <w:ind w:left="5400" w:hanging="180"/>
      </w:pPr>
      <w:rPr/>
    </w:lvl>
    <w:lvl w:ilvl="6">
      <w:start w:val="1"/>
      <w:numFmt w:val="decimal"/>
      <w:lvlText w:val="%7."/>
      <w:lvlJc w:val="left"/>
      <w:pPr>
        <w:tabs>
          <w:tab w:val="num" w:pos="0"/>
        </w:tabs>
        <w:ind w:left="6120" w:hanging="360"/>
      </w:pPr>
      <w:rPr/>
    </w:lvl>
    <w:lvl w:ilvl="7">
      <w:start w:val="1"/>
      <w:numFmt w:val="lowerLetter"/>
      <w:lvlText w:val="%8."/>
      <w:lvlJc w:val="left"/>
      <w:pPr>
        <w:tabs>
          <w:tab w:val="num" w:pos="0"/>
        </w:tabs>
        <w:ind w:left="6840" w:hanging="360"/>
      </w:pPr>
      <w:rPr/>
    </w:lvl>
    <w:lvl w:ilvl="8">
      <w:start w:val="1"/>
      <w:numFmt w:val="lowerRoman"/>
      <w:lvlText w:val="%9."/>
      <w:lvlJc w:val="right"/>
      <w:pPr>
        <w:tabs>
          <w:tab w:val="num" w:pos="0"/>
        </w:tabs>
        <w:ind w:left="756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l-PL"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0b4e"/>
    <w:pPr>
      <w:widowControl/>
      <w:suppressAutoHyphens w:val="true"/>
      <w:bidi w:val="0"/>
      <w:spacing w:lineRule="auto" w:line="259" w:before="0" w:after="160"/>
      <w:jc w:val="left"/>
    </w:pPr>
    <w:rPr>
      <w:rFonts w:ascii="Calibri" w:hAnsi="Calibri" w:eastAsia="Calibri" w:cs=""/>
      <w:color w:val="auto"/>
      <w:kern w:val="0"/>
      <w:sz w:val="22"/>
      <w:szCs w:val="22"/>
      <w:lang w:val="pl-PL" w:eastAsia="en-US" w:bidi="ar-SA"/>
      <w14:ligatures w14:val="none"/>
    </w:rPr>
  </w:style>
  <w:style w:type="character" w:styleId="DefaultParagraphFont" w:default="1">
    <w:name w:val="Default Paragraph Font"/>
    <w:uiPriority w:val="1"/>
    <w:semiHidden/>
    <w:unhideWhenUsed/>
    <w:qFormat/>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ListParagraph">
    <w:name w:val="List Paragraph"/>
    <w:basedOn w:val="Normal"/>
    <w:uiPriority w:val="34"/>
    <w:qFormat/>
    <w:rsid w:val="007d0b4e"/>
    <w:pPr>
      <w:spacing w:before="0" w:after="160"/>
      <w:ind w:left="720" w:hanging="0"/>
      <w:contextualSpacing/>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Application>LibreOffice/7.5.5.2$Windows_X86_64 LibreOffice_project/ca8fe7424262805f223b9a2334bc7181abbcbf5e</Application>
  <AppVersion>15.0000</AppVersion>
  <Pages>5</Pages>
  <Words>1693</Words>
  <Characters>10898</Characters>
  <CharactersWithSpaces>12627</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2024-03-14T10:10:00Z</dcterms:created>
  <dc:creator>radca</dc:creator>
  <dc:description/>
  <dc:language>pl-PL</dc:language>
  <cp:lastModifiedBy/>
  <cp:lastPrinted>2024-03-22T09:52:56Z</cp:lastPrinted>
  <dcterms:modified xsi:type="dcterms:W3CDTF">2024-03-25T10:16:11Z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